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F0" w:rsidRDefault="00F62B6C" w:rsidP="0003595C">
      <w:pPr>
        <w:pStyle w:val="text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65405</wp:posOffset>
            </wp:positionV>
            <wp:extent cx="1685925" cy="1685925"/>
            <wp:effectExtent l="19050" t="0" r="9525" b="0"/>
            <wp:wrapTight wrapText="bothSides">
              <wp:wrapPolygon edited="0">
                <wp:start x="-244" y="0"/>
                <wp:lineTo x="-244" y="21478"/>
                <wp:lineTo x="21722" y="21478"/>
                <wp:lineTo x="21722" y="0"/>
                <wp:lineTo x="-244" y="0"/>
              </wp:wrapPolygon>
            </wp:wrapTight>
            <wp:docPr id="3" name="P 3" descr="Ozone Map 2006-09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" descr="Ozone Map 2006-09-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A51" w:rsidRPr="00406563" w:rsidRDefault="0014623D" w:rsidP="0003595C">
      <w:pPr>
        <w:pStyle w:val="text"/>
      </w:pPr>
      <w:r w:rsidRPr="00406563">
        <w:t xml:space="preserve">In this activity you will suggest functions that could be used to model real data and consider how well </w:t>
      </w:r>
      <w:r w:rsidR="00435AFA">
        <w:t>the functions</w:t>
      </w:r>
      <w:r w:rsidRPr="00406563">
        <w:t xml:space="preserve"> do this.  </w:t>
      </w:r>
    </w:p>
    <w:p w:rsidR="009B6487" w:rsidRPr="004E475F" w:rsidRDefault="00F62071" w:rsidP="004E475F">
      <w:pPr>
        <w:pStyle w:val="Bheading"/>
      </w:pPr>
      <w:r w:rsidRPr="004E475F">
        <w:t xml:space="preserve">Information </w:t>
      </w:r>
      <w:r w:rsidR="006A6C2A" w:rsidRPr="004E475F">
        <w:t>sheet</w:t>
      </w:r>
    </w:p>
    <w:p w:rsidR="00435AFA" w:rsidRDefault="008128C1" w:rsidP="0003595C">
      <w:pPr>
        <w:pStyle w:val="text"/>
      </w:pPr>
      <w:r w:rsidRPr="00406563">
        <w:t>At ground level ozone is a health hazard, but the layer of ozone in the stratosph</w:t>
      </w:r>
      <w:r w:rsidR="00292387">
        <w:t>ere (between 10 kilometres and 5</w:t>
      </w:r>
      <w:r w:rsidRPr="00406563">
        <w:t xml:space="preserve">0 kilometres above the </w:t>
      </w:r>
      <w:r w:rsidR="00435AFA">
        <w:t>E</w:t>
      </w:r>
      <w:r w:rsidRPr="00406563">
        <w:t>arth’s surface) provides a valuable shield against harmful ultra</w:t>
      </w:r>
      <w:r w:rsidR="0003595C">
        <w:t xml:space="preserve">violet radiation from the </w:t>
      </w:r>
      <w:r w:rsidR="00435AFA">
        <w:t>S</w:t>
      </w:r>
      <w:r w:rsidR="0003595C">
        <w:t xml:space="preserve">un. </w:t>
      </w:r>
    </w:p>
    <w:tbl>
      <w:tblPr>
        <w:tblpPr w:leftFromText="181" w:rightFromText="181" w:vertAnchor="page" w:horzAnchor="margin" w:tblpXSpec="right" w:tblpY="4981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3402"/>
      </w:tblGrid>
      <w:tr w:rsidR="00435AFA" w:rsidTr="00435AFA">
        <w:trPr>
          <w:trHeight w:val="59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  <w:t>Year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  <w:t xml:space="preserve">Maximum </w:t>
            </w:r>
            <w:r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  <w:t>a</w:t>
            </w:r>
            <w:r w:rsidRPr="00406563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  <w:t xml:space="preserve">rea of </w:t>
            </w:r>
            <w:r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  <w:t>o</w:t>
            </w:r>
            <w:r w:rsidRPr="00406563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  <w:t xml:space="preserve">zone </w:t>
            </w:r>
            <w:r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  <w:t>h</w:t>
            </w:r>
            <w:r w:rsidRPr="00406563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  <w:t>ole</w:t>
            </w:r>
          </w:p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  <w:t>(million km</w:t>
            </w:r>
            <w:r w:rsidRPr="00406563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406563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3.3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3.1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10.8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12.2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14.7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18.8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14.4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22.5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13.8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21.7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21.1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22.5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24.9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25.8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25.2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26.9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1997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25.1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27.9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25.8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29.9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26.5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2002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21.9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28.4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22.7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26.9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29.3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24.8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26.5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24.0</w:t>
            </w:r>
          </w:p>
        </w:tc>
      </w:tr>
      <w:tr w:rsidR="00435AFA" w:rsidTr="00435AFA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406563" w:rsidRDefault="00435AFA" w:rsidP="00435AFA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</w:pPr>
            <w:r w:rsidRPr="00406563">
              <w:rPr>
                <w:rFonts w:ascii="Calibri" w:hAnsi="Calibri" w:cs="Calibri"/>
                <w:snapToGrid w:val="0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AFA" w:rsidRPr="000F3870" w:rsidRDefault="00435AFA" w:rsidP="00435AF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3870">
              <w:rPr>
                <w:rFonts w:ascii="Calibri" w:hAnsi="Calibri"/>
                <w:color w:val="000000"/>
                <w:sz w:val="24"/>
                <w:szCs w:val="24"/>
              </w:rPr>
              <w:t>22.2</w:t>
            </w:r>
          </w:p>
        </w:tc>
      </w:tr>
    </w:tbl>
    <w:p w:rsidR="00435AFA" w:rsidRDefault="008128C1" w:rsidP="0003595C">
      <w:pPr>
        <w:pStyle w:val="text"/>
        <w:rPr>
          <w:noProof/>
        </w:rPr>
      </w:pPr>
      <w:r w:rsidRPr="00406563">
        <w:rPr>
          <w:noProof/>
        </w:rPr>
        <w:t xml:space="preserve">Ozone levels are monitored from the ground, air and </w:t>
      </w:r>
      <w:r w:rsidR="00435AFA">
        <w:rPr>
          <w:noProof/>
        </w:rPr>
        <w:t>S</w:t>
      </w:r>
      <w:r w:rsidRPr="00406563">
        <w:rPr>
          <w:noProof/>
        </w:rPr>
        <w:t xml:space="preserve">pace.  </w:t>
      </w:r>
    </w:p>
    <w:p w:rsidR="008128C1" w:rsidRDefault="00435AFA" w:rsidP="0003595C">
      <w:pPr>
        <w:pStyle w:val="text"/>
      </w:pPr>
      <w:r>
        <w:rPr>
          <w:noProof/>
        </w:rPr>
        <w:t>Ozone levels</w:t>
      </w:r>
      <w:r w:rsidR="008128C1" w:rsidRPr="00406563">
        <w:t xml:space="preserve"> vary periodically with the seasons</w:t>
      </w:r>
      <w:r w:rsidR="0014623D" w:rsidRPr="00406563">
        <w:t xml:space="preserve">.  </w:t>
      </w:r>
      <w:r>
        <w:br/>
      </w:r>
      <w:r w:rsidR="0014623D" w:rsidRPr="00406563">
        <w:t>In</w:t>
      </w:r>
      <w:r w:rsidR="008128C1" w:rsidRPr="00406563">
        <w:t xml:space="preserve"> an area over the Antarctic</w:t>
      </w:r>
      <w:r w:rsidR="0014623D" w:rsidRPr="00406563">
        <w:t>,</w:t>
      </w:r>
      <w:r w:rsidR="008128C1" w:rsidRPr="00406563">
        <w:t xml:space="preserve"> levels of ozone fall so low in spring that scient</w:t>
      </w:r>
      <w:r w:rsidR="0003595C">
        <w:t>ists describe the loss as the ‘o</w:t>
      </w:r>
      <w:r>
        <w:t>zone h</w:t>
      </w:r>
      <w:r w:rsidR="008128C1" w:rsidRPr="00406563">
        <w:t>ole’.</w:t>
      </w:r>
    </w:p>
    <w:p w:rsidR="0003595C" w:rsidRPr="00406563" w:rsidRDefault="0003595C" w:rsidP="0003595C">
      <w:pPr>
        <w:pStyle w:val="text"/>
        <w:rPr>
          <w:noProof/>
        </w:rPr>
      </w:pPr>
      <w:r w:rsidRPr="00406563">
        <w:rPr>
          <w:noProof/>
        </w:rPr>
        <w:t>The amount</w:t>
      </w:r>
      <w:r>
        <w:rPr>
          <w:noProof/>
        </w:rPr>
        <w:t xml:space="preserve"> of ozone above a point on the E</w:t>
      </w:r>
      <w:r w:rsidRPr="00406563">
        <w:rPr>
          <w:noProof/>
        </w:rPr>
        <w:t>arth’s surface is measured in Dobson Units (DU).  This measurement represents the thickness of the ozone layer if all the ozone molecules overhea</w:t>
      </w:r>
      <w:r w:rsidR="00435AFA">
        <w:rPr>
          <w:noProof/>
        </w:rPr>
        <w:t>d could be brought down to the E</w:t>
      </w:r>
      <w:r w:rsidRPr="00406563">
        <w:rPr>
          <w:noProof/>
        </w:rPr>
        <w:t xml:space="preserve">arth’s surface. </w:t>
      </w:r>
    </w:p>
    <w:p w:rsidR="0003595C" w:rsidRPr="00406563" w:rsidRDefault="0003595C" w:rsidP="0003595C">
      <w:pPr>
        <w:pStyle w:val="text"/>
        <w:rPr>
          <w:noProof/>
        </w:rPr>
      </w:pPr>
      <w:r w:rsidRPr="00406563">
        <w:rPr>
          <w:noProof/>
        </w:rPr>
        <w:t>The average ozone layer thickness is about 300 DU (3 mm).  There is said to be an ‘ozone hole’ where the thickness is less than 220 DU.</w:t>
      </w:r>
    </w:p>
    <w:p w:rsidR="0003595C" w:rsidRPr="00406563" w:rsidRDefault="005A23F0" w:rsidP="0003595C">
      <w:pPr>
        <w:pStyle w:val="text"/>
      </w:pPr>
      <w:r>
        <w:rPr>
          <w:lang w:val="en-US"/>
        </w:rPr>
        <w:t>T</w:t>
      </w:r>
      <w:r w:rsidR="0003595C" w:rsidRPr="00406563">
        <w:rPr>
          <w:lang w:val="en-US"/>
        </w:rPr>
        <w:t xml:space="preserve">he table shows the maximum area of the Antarctic ozone hole for each year from 1980 to 2010.  </w:t>
      </w:r>
      <w:proofErr w:type="gramStart"/>
      <w:r>
        <w:rPr>
          <w:lang w:val="en-US"/>
        </w:rPr>
        <w:t>(There is no figure for 1995 when no measurements were taken.)</w:t>
      </w:r>
      <w:proofErr w:type="gramEnd"/>
    </w:p>
    <w:p w:rsidR="0003595C" w:rsidRPr="00406563" w:rsidRDefault="0003595C" w:rsidP="004E475F">
      <w:pPr>
        <w:pStyle w:val="Bheading"/>
      </w:pPr>
      <w:r w:rsidRPr="00406563">
        <w:t xml:space="preserve">Think about  </w:t>
      </w:r>
    </w:p>
    <w:p w:rsidR="007A5A51" w:rsidRDefault="0003595C" w:rsidP="0003595C">
      <w:pPr>
        <w:pStyle w:val="text"/>
        <w:rPr>
          <w:noProof/>
        </w:rPr>
      </w:pPr>
      <w:r w:rsidRPr="00406563">
        <w:rPr>
          <w:noProof/>
        </w:rPr>
        <w:t>How does the size of the ozone hole vary over these years?</w:t>
      </w:r>
    </w:p>
    <w:p w:rsidR="009B7766" w:rsidRDefault="009B7766" w:rsidP="0003595C">
      <w:pPr>
        <w:pStyle w:val="text"/>
        <w:rPr>
          <w:noProof/>
        </w:rPr>
      </w:pPr>
    </w:p>
    <w:p w:rsidR="009B7766" w:rsidRPr="00406563" w:rsidRDefault="009B7766" w:rsidP="0003595C">
      <w:pPr>
        <w:pStyle w:val="text"/>
      </w:pPr>
    </w:p>
    <w:p w:rsidR="00D569E6" w:rsidRPr="00A6719E" w:rsidRDefault="008128C1" w:rsidP="004E475F">
      <w:pPr>
        <w:pStyle w:val="Bheading"/>
        <w:rPr>
          <w:noProof/>
        </w:rPr>
      </w:pPr>
      <w:r>
        <w:rPr>
          <w:noProof/>
        </w:rPr>
        <w:br w:type="page"/>
      </w:r>
      <w:r w:rsidR="007A1BF2">
        <w:lastRenderedPageBreak/>
        <w:t>Find</w:t>
      </w:r>
      <w:r w:rsidR="00D569E6" w:rsidRPr="00BE0F61">
        <w:t xml:space="preserve">ing </w:t>
      </w:r>
      <w:r w:rsidR="007A1BF2">
        <w:t>possible models</w:t>
      </w:r>
    </w:p>
    <w:p w:rsidR="00C27C93" w:rsidRDefault="00C27C93" w:rsidP="00931D84">
      <w:pPr>
        <w:pStyle w:val="text"/>
        <w:ind w:right="283"/>
      </w:pPr>
      <w:r>
        <w:t xml:space="preserve">The graph below illustrates the data given on the information sheet.  </w:t>
      </w:r>
    </w:p>
    <w:p w:rsidR="007460FE" w:rsidRDefault="00590E73" w:rsidP="008F1B26">
      <w:pPr>
        <w:pStyle w:val="text"/>
        <w:rPr>
          <w:noProof/>
        </w:rPr>
      </w:pPr>
      <w:r w:rsidRPr="00590E73">
        <w:rPr>
          <w:noProof/>
          <w:lang w:eastAsia="en-GB"/>
        </w:rPr>
        <w:drawing>
          <wp:inline distT="0" distB="0" distL="0" distR="0">
            <wp:extent cx="5476875" cy="61055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7C93" w:rsidRPr="00097088" w:rsidRDefault="00C27C93" w:rsidP="004E475F">
      <w:pPr>
        <w:pStyle w:val="Bheading"/>
      </w:pPr>
      <w:r>
        <w:t>Try these</w:t>
      </w:r>
    </w:p>
    <w:p w:rsidR="00C27C93" w:rsidRPr="00423251" w:rsidRDefault="00D956A0" w:rsidP="005A23F0">
      <w:pPr>
        <w:pStyle w:val="text"/>
        <w:ind w:right="1558"/>
      </w:pPr>
      <w:r w:rsidRPr="00D956A0">
        <w:rPr>
          <w:b/>
          <w:color w:val="36669A"/>
          <w:sz w:val="26"/>
        </w:rPr>
        <w:t>1</w:t>
      </w:r>
      <w:r>
        <w:tab/>
      </w:r>
      <w:r w:rsidR="00C27C93" w:rsidRPr="00423251">
        <w:t>List type</w:t>
      </w:r>
      <w:r w:rsidR="00AD79BC">
        <w:t>s</w:t>
      </w:r>
      <w:r w:rsidR="00C27C93" w:rsidRPr="00423251">
        <w:t xml:space="preserve"> of functions you think might provide</w:t>
      </w:r>
      <w:r>
        <w:t xml:space="preserve"> suitable models for this data.</w:t>
      </w:r>
    </w:p>
    <w:p w:rsidR="00C27C93" w:rsidRPr="00423251" w:rsidRDefault="00D956A0" w:rsidP="00D956A0">
      <w:pPr>
        <w:pStyle w:val="text"/>
        <w:rPr>
          <w:noProof/>
        </w:rPr>
      </w:pPr>
      <w:r w:rsidRPr="00D956A0">
        <w:rPr>
          <w:b/>
          <w:color w:val="36669A"/>
          <w:sz w:val="26"/>
        </w:rPr>
        <w:t>2</w:t>
      </w:r>
      <w:r>
        <w:tab/>
      </w:r>
      <w:r w:rsidR="00C27C93" w:rsidRPr="00423251">
        <w:t>Use a graphic calculator or compu</w:t>
      </w:r>
      <w:r>
        <w:t>ter to find two or more models.</w:t>
      </w:r>
    </w:p>
    <w:p w:rsidR="00BE4482" w:rsidRPr="00423251" w:rsidRDefault="00D956A0" w:rsidP="005A23F0">
      <w:pPr>
        <w:pStyle w:val="text"/>
        <w:spacing w:after="60"/>
        <w:rPr>
          <w:noProof/>
        </w:rPr>
      </w:pPr>
      <w:r w:rsidRPr="00D956A0">
        <w:rPr>
          <w:b/>
          <w:color w:val="36669A"/>
          <w:sz w:val="26"/>
        </w:rPr>
        <w:t>3</w:t>
      </w:r>
      <w:r>
        <w:tab/>
      </w:r>
      <w:r w:rsidR="00C27C93" w:rsidRPr="00423251">
        <w:t>For each of your mod</w:t>
      </w:r>
      <w:r>
        <w:t>els investigate:</w:t>
      </w:r>
    </w:p>
    <w:p w:rsidR="00BE4482" w:rsidRPr="00423251" w:rsidRDefault="00BE4482" w:rsidP="005A23F0">
      <w:pPr>
        <w:pStyle w:val="bullets"/>
        <w:spacing w:after="60"/>
      </w:pPr>
      <w:r w:rsidRPr="00423251">
        <w:t xml:space="preserve">how well the model fits the data given on the </w:t>
      </w:r>
      <w:r w:rsidR="00547D26">
        <w:t>Information sheet.</w:t>
      </w:r>
    </w:p>
    <w:p w:rsidR="004504D1" w:rsidRDefault="00BE4482" w:rsidP="00D956A0">
      <w:pPr>
        <w:pStyle w:val="bullets"/>
      </w:pPr>
      <w:r w:rsidRPr="00423251">
        <w:t>what the model predicts for future years.</w:t>
      </w:r>
    </w:p>
    <w:sectPr w:rsidR="004504D1" w:rsidSect="004E475F">
      <w:footerReference w:type="default" r:id="rId9"/>
      <w:headerReference w:type="first" r:id="rId10"/>
      <w:footerReference w:type="first" r:id="rId11"/>
      <w:pgSz w:w="11906" w:h="16838" w:code="9"/>
      <w:pgMar w:top="1276" w:right="992" w:bottom="1701" w:left="1418" w:header="720" w:footer="59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295" w:rsidRDefault="004A6295">
      <w:r>
        <w:separator/>
      </w:r>
    </w:p>
  </w:endnote>
  <w:endnote w:type="continuationSeparator" w:id="0">
    <w:p w:rsidR="004A6295" w:rsidRDefault="004A6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00" w:rsidRPr="00860D88" w:rsidRDefault="00D52A00" w:rsidP="00D52A00">
    <w:pPr>
      <w:pBdr>
        <w:top w:val="single" w:sz="4" w:space="2" w:color="auto"/>
      </w:pBdr>
      <w:tabs>
        <w:tab w:val="right" w:pos="9498"/>
      </w:tabs>
      <w:rPr>
        <w:rFonts w:ascii="Calibri" w:eastAsia="Cambria" w:hAnsi="Calibri"/>
        <w:sz w:val="16"/>
        <w:szCs w:val="24"/>
        <w:lang w:eastAsia="en-US"/>
      </w:rPr>
    </w:pPr>
    <w:r w:rsidRPr="00860D88">
      <w:rPr>
        <w:rFonts w:ascii="Calibri" w:eastAsia="Cambria" w:hAnsi="Calibri"/>
        <w:sz w:val="16"/>
        <w:szCs w:val="24"/>
        <w:lang w:eastAsia="en-US"/>
      </w:rPr>
      <w:t>Nuffield Free Standing Mathematics Activity ‘</w:t>
    </w:r>
    <w:r>
      <w:rPr>
        <w:rFonts w:ascii="Calibri" w:eastAsia="Cambria" w:hAnsi="Calibri"/>
        <w:sz w:val="16"/>
        <w:szCs w:val="24"/>
        <w:lang w:eastAsia="en-US"/>
      </w:rPr>
      <w:t>Ozone hole</w:t>
    </w:r>
    <w:r w:rsidRPr="00860D88">
      <w:rPr>
        <w:rFonts w:ascii="Calibri" w:eastAsia="Cambria" w:hAnsi="Calibri"/>
        <w:sz w:val="16"/>
        <w:szCs w:val="24"/>
        <w:lang w:eastAsia="en-US"/>
      </w:rPr>
      <w:t>’</w:t>
    </w:r>
    <w:r>
      <w:rPr>
        <w:rFonts w:ascii="Calibri" w:eastAsia="Cambria" w:hAnsi="Calibri"/>
        <w:sz w:val="16"/>
        <w:szCs w:val="24"/>
        <w:lang w:eastAsia="en-US"/>
      </w:rPr>
      <w:t xml:space="preserve"> Student sheets</w:t>
    </w:r>
    <w:r w:rsidRPr="00FF17E5">
      <w:rPr>
        <w:rFonts w:ascii="Calibri" w:eastAsia="Cambria" w:hAnsi="Calibri"/>
        <w:sz w:val="16"/>
        <w:szCs w:val="24"/>
        <w:lang w:eastAsia="en-US"/>
      </w:rPr>
      <w:t xml:space="preserve"> </w:t>
    </w:r>
    <w:r>
      <w:rPr>
        <w:rFonts w:ascii="Calibri" w:eastAsia="Cambria" w:hAnsi="Calibri"/>
        <w:sz w:val="16"/>
        <w:szCs w:val="24"/>
        <w:lang w:eastAsia="en-US"/>
      </w:rPr>
      <w:t>● Word 2007</w:t>
    </w:r>
    <w:r w:rsidRPr="00FF17E5">
      <w:rPr>
        <w:rFonts w:ascii="Calibri" w:eastAsia="Cambria" w:hAnsi="Calibri"/>
        <w:sz w:val="16"/>
        <w:szCs w:val="24"/>
        <w:lang w:eastAsia="en-US"/>
      </w:rPr>
      <w:tab/>
    </w:r>
    <w:r>
      <w:rPr>
        <w:rFonts w:ascii="Calibri" w:eastAsia="Cambria" w:hAnsi="Calibri"/>
        <w:sz w:val="16"/>
        <w:szCs w:val="24"/>
        <w:lang w:eastAsia="en-US"/>
      </w:rPr>
      <w:t xml:space="preserve"> </w:t>
    </w:r>
    <w:proofErr w:type="spellStart"/>
    <w:r>
      <w:rPr>
        <w:rFonts w:ascii="Calibri" w:eastAsia="Cambria" w:hAnsi="Calibri"/>
        <w:sz w:val="16"/>
        <w:szCs w:val="24"/>
        <w:lang w:eastAsia="en-US"/>
      </w:rPr>
      <w:t>Copiable</w:t>
    </w:r>
    <w:proofErr w:type="spellEnd"/>
    <w:r>
      <w:rPr>
        <w:rFonts w:ascii="Calibri" w:eastAsia="Cambria" w:hAnsi="Calibri"/>
        <w:sz w:val="16"/>
        <w:szCs w:val="24"/>
        <w:lang w:eastAsia="en-US"/>
      </w:rPr>
      <w:t xml:space="preserve"> </w:t>
    </w:r>
    <w:r w:rsidRPr="00FF17E5">
      <w:rPr>
        <w:rFonts w:ascii="Calibri" w:eastAsia="Cambria" w:hAnsi="Calibri"/>
        <w:sz w:val="16"/>
        <w:szCs w:val="24"/>
        <w:lang w:eastAsia="en-US"/>
      </w:rPr>
      <w:t xml:space="preserve">page </w: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begin"/>
    </w:r>
    <w:r w:rsidRPr="00FF17E5">
      <w:rPr>
        <w:rFonts w:ascii="Calibri" w:eastAsia="Cambria" w:hAnsi="Calibri"/>
        <w:sz w:val="16"/>
        <w:szCs w:val="24"/>
        <w:lang w:eastAsia="en-US"/>
      </w:rPr>
      <w:instrText xml:space="preserve"> PAGE </w:instrTex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separate"/>
    </w:r>
    <w:r w:rsidR="00F62B6C">
      <w:rPr>
        <w:rFonts w:ascii="Calibri" w:eastAsia="Cambria" w:hAnsi="Calibri"/>
        <w:noProof/>
        <w:sz w:val="16"/>
        <w:szCs w:val="24"/>
        <w:lang w:eastAsia="en-US"/>
      </w:rPr>
      <w:t>2</w: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end"/>
    </w:r>
    <w:r w:rsidRPr="00FF17E5">
      <w:rPr>
        <w:rFonts w:ascii="Calibri" w:eastAsia="Cambria" w:hAnsi="Calibri"/>
        <w:sz w:val="16"/>
        <w:szCs w:val="24"/>
        <w:lang w:eastAsia="en-US"/>
      </w:rPr>
      <w:t xml:space="preserve"> of </w: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begin"/>
    </w:r>
    <w:r w:rsidRPr="00FF17E5">
      <w:rPr>
        <w:rFonts w:ascii="Calibri" w:eastAsia="Cambria" w:hAnsi="Calibri"/>
        <w:sz w:val="16"/>
        <w:szCs w:val="24"/>
        <w:lang w:eastAsia="en-US"/>
      </w:rPr>
      <w:instrText xml:space="preserve"> NUMPAGES  </w:instrTex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separate"/>
    </w:r>
    <w:r w:rsidR="00F62B6C">
      <w:rPr>
        <w:rFonts w:ascii="Calibri" w:eastAsia="Cambria" w:hAnsi="Calibri"/>
        <w:noProof/>
        <w:sz w:val="16"/>
        <w:szCs w:val="24"/>
        <w:lang w:eastAsia="en-US"/>
      </w:rPr>
      <w:t>2</w: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end"/>
    </w:r>
  </w:p>
  <w:p w:rsidR="0003595C" w:rsidRPr="004E475F" w:rsidRDefault="00D52A00" w:rsidP="004E475F">
    <w:pPr>
      <w:pBdr>
        <w:top w:val="single" w:sz="4" w:space="2" w:color="auto"/>
      </w:pBdr>
      <w:tabs>
        <w:tab w:val="center" w:pos="4513"/>
        <w:tab w:val="right" w:pos="9026"/>
      </w:tabs>
      <w:rPr>
        <w:rFonts w:ascii="Calibri" w:eastAsia="Cambria" w:hAnsi="Calibri"/>
        <w:sz w:val="16"/>
        <w:szCs w:val="24"/>
        <w:lang w:eastAsia="en-US"/>
      </w:rPr>
    </w:pPr>
    <w:r w:rsidRPr="00860D88">
      <w:rPr>
        <w:rFonts w:ascii="Calibri" w:eastAsia="Cambria" w:hAnsi="Calibri"/>
        <w:sz w:val="16"/>
        <w:szCs w:val="24"/>
        <w:lang w:eastAsia="en-US"/>
      </w:rPr>
      <w:t>© Nuffield Foundation 2011</w:t>
    </w:r>
    <w:r>
      <w:rPr>
        <w:rFonts w:ascii="Calibri" w:eastAsia="Cambria" w:hAnsi="Calibri"/>
        <w:sz w:val="16"/>
        <w:szCs w:val="24"/>
        <w:lang w:eastAsia="en-US"/>
      </w:rPr>
      <w:t xml:space="preserve"> ● downloaded from www.fsmq.org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5F" w:rsidRPr="00860D88" w:rsidRDefault="004E475F" w:rsidP="004E475F">
    <w:pPr>
      <w:pBdr>
        <w:top w:val="single" w:sz="4" w:space="2" w:color="auto"/>
      </w:pBdr>
      <w:tabs>
        <w:tab w:val="right" w:pos="9498"/>
      </w:tabs>
      <w:rPr>
        <w:rFonts w:ascii="Calibri" w:eastAsia="Cambria" w:hAnsi="Calibri"/>
        <w:sz w:val="16"/>
        <w:szCs w:val="24"/>
        <w:lang w:eastAsia="en-US"/>
      </w:rPr>
    </w:pPr>
    <w:r w:rsidRPr="00860D88">
      <w:rPr>
        <w:rFonts w:ascii="Calibri" w:eastAsia="Cambria" w:hAnsi="Calibri"/>
        <w:sz w:val="16"/>
        <w:szCs w:val="24"/>
        <w:lang w:eastAsia="en-US"/>
      </w:rPr>
      <w:t>Nuffield Free Standing Mathematics Activity ‘</w:t>
    </w:r>
    <w:r>
      <w:rPr>
        <w:rFonts w:ascii="Calibri" w:eastAsia="Cambria" w:hAnsi="Calibri"/>
        <w:sz w:val="16"/>
        <w:szCs w:val="24"/>
        <w:lang w:eastAsia="en-US"/>
      </w:rPr>
      <w:t>Ozone hole</w:t>
    </w:r>
    <w:r w:rsidRPr="00860D88">
      <w:rPr>
        <w:rFonts w:ascii="Calibri" w:eastAsia="Cambria" w:hAnsi="Calibri"/>
        <w:sz w:val="16"/>
        <w:szCs w:val="24"/>
        <w:lang w:eastAsia="en-US"/>
      </w:rPr>
      <w:t>’</w:t>
    </w:r>
    <w:r>
      <w:rPr>
        <w:rFonts w:ascii="Calibri" w:eastAsia="Cambria" w:hAnsi="Calibri"/>
        <w:sz w:val="16"/>
        <w:szCs w:val="24"/>
        <w:lang w:eastAsia="en-US"/>
      </w:rPr>
      <w:t xml:space="preserve"> Student sheet</w:t>
    </w:r>
    <w:r w:rsidR="00DA3851">
      <w:rPr>
        <w:rFonts w:ascii="Calibri" w:eastAsia="Cambria" w:hAnsi="Calibri"/>
        <w:sz w:val="16"/>
        <w:szCs w:val="24"/>
        <w:lang w:eastAsia="en-US"/>
      </w:rPr>
      <w:t>s</w:t>
    </w:r>
    <w:r w:rsidRPr="00FF17E5">
      <w:rPr>
        <w:rFonts w:ascii="Calibri" w:eastAsia="Cambria" w:hAnsi="Calibri"/>
        <w:sz w:val="16"/>
        <w:szCs w:val="24"/>
        <w:lang w:eastAsia="en-US"/>
      </w:rPr>
      <w:t xml:space="preserve"> </w:t>
    </w:r>
    <w:r w:rsidR="00D52A00">
      <w:rPr>
        <w:rFonts w:ascii="Calibri" w:eastAsia="Cambria" w:hAnsi="Calibri"/>
        <w:sz w:val="16"/>
        <w:szCs w:val="24"/>
        <w:lang w:eastAsia="en-US"/>
      </w:rPr>
      <w:t>● Word 2007</w:t>
    </w:r>
    <w:r w:rsidRPr="00FF17E5">
      <w:rPr>
        <w:rFonts w:ascii="Calibri" w:eastAsia="Cambria" w:hAnsi="Calibri"/>
        <w:sz w:val="16"/>
        <w:szCs w:val="24"/>
        <w:lang w:eastAsia="en-US"/>
      </w:rPr>
      <w:tab/>
    </w:r>
    <w:r>
      <w:rPr>
        <w:rFonts w:ascii="Calibri" w:eastAsia="Cambria" w:hAnsi="Calibri"/>
        <w:sz w:val="16"/>
        <w:szCs w:val="24"/>
        <w:lang w:eastAsia="en-US"/>
      </w:rPr>
      <w:t xml:space="preserve"> </w:t>
    </w:r>
    <w:proofErr w:type="spellStart"/>
    <w:r>
      <w:rPr>
        <w:rFonts w:ascii="Calibri" w:eastAsia="Cambria" w:hAnsi="Calibri"/>
        <w:sz w:val="16"/>
        <w:szCs w:val="24"/>
        <w:lang w:eastAsia="en-US"/>
      </w:rPr>
      <w:t>Copiable</w:t>
    </w:r>
    <w:proofErr w:type="spellEnd"/>
    <w:r>
      <w:rPr>
        <w:rFonts w:ascii="Calibri" w:eastAsia="Cambria" w:hAnsi="Calibri"/>
        <w:sz w:val="16"/>
        <w:szCs w:val="24"/>
        <w:lang w:eastAsia="en-US"/>
      </w:rPr>
      <w:t xml:space="preserve"> </w:t>
    </w:r>
    <w:r w:rsidRPr="00FF17E5">
      <w:rPr>
        <w:rFonts w:ascii="Calibri" w:eastAsia="Cambria" w:hAnsi="Calibri"/>
        <w:sz w:val="16"/>
        <w:szCs w:val="24"/>
        <w:lang w:eastAsia="en-US"/>
      </w:rPr>
      <w:t xml:space="preserve">page </w: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begin"/>
    </w:r>
    <w:r w:rsidRPr="00FF17E5">
      <w:rPr>
        <w:rFonts w:ascii="Calibri" w:eastAsia="Cambria" w:hAnsi="Calibri"/>
        <w:sz w:val="16"/>
        <w:szCs w:val="24"/>
        <w:lang w:eastAsia="en-US"/>
      </w:rPr>
      <w:instrText xml:space="preserve"> PAGE </w:instrTex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separate"/>
    </w:r>
    <w:r w:rsidR="00F62B6C">
      <w:rPr>
        <w:rFonts w:ascii="Calibri" w:eastAsia="Cambria" w:hAnsi="Calibri"/>
        <w:noProof/>
        <w:sz w:val="16"/>
        <w:szCs w:val="24"/>
        <w:lang w:eastAsia="en-US"/>
      </w:rPr>
      <w:t>1</w: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end"/>
    </w:r>
    <w:r w:rsidRPr="00FF17E5">
      <w:rPr>
        <w:rFonts w:ascii="Calibri" w:eastAsia="Cambria" w:hAnsi="Calibri"/>
        <w:sz w:val="16"/>
        <w:szCs w:val="24"/>
        <w:lang w:eastAsia="en-US"/>
      </w:rPr>
      <w:t xml:space="preserve"> of </w: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begin"/>
    </w:r>
    <w:r w:rsidRPr="00FF17E5">
      <w:rPr>
        <w:rFonts w:ascii="Calibri" w:eastAsia="Cambria" w:hAnsi="Calibri"/>
        <w:sz w:val="16"/>
        <w:szCs w:val="24"/>
        <w:lang w:eastAsia="en-US"/>
      </w:rPr>
      <w:instrText xml:space="preserve"> NUMPAGES  </w:instrTex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separate"/>
    </w:r>
    <w:r w:rsidR="00F62B6C">
      <w:rPr>
        <w:rFonts w:ascii="Calibri" w:eastAsia="Cambria" w:hAnsi="Calibri"/>
        <w:noProof/>
        <w:sz w:val="16"/>
        <w:szCs w:val="24"/>
        <w:lang w:eastAsia="en-US"/>
      </w:rPr>
      <w:t>2</w:t>
    </w:r>
    <w:r w:rsidR="006A24AC" w:rsidRPr="00FF17E5">
      <w:rPr>
        <w:rFonts w:ascii="Calibri" w:eastAsia="Cambria" w:hAnsi="Calibri"/>
        <w:sz w:val="16"/>
        <w:szCs w:val="24"/>
        <w:lang w:eastAsia="en-US"/>
      </w:rPr>
      <w:fldChar w:fldCharType="end"/>
    </w:r>
  </w:p>
  <w:p w:rsidR="004E475F" w:rsidRPr="004E475F" w:rsidRDefault="004E475F" w:rsidP="004E475F">
    <w:pPr>
      <w:pBdr>
        <w:top w:val="single" w:sz="4" w:space="2" w:color="auto"/>
      </w:pBdr>
      <w:tabs>
        <w:tab w:val="center" w:pos="4513"/>
        <w:tab w:val="right" w:pos="9026"/>
      </w:tabs>
      <w:rPr>
        <w:rFonts w:ascii="Calibri" w:eastAsia="Cambria" w:hAnsi="Calibri"/>
        <w:sz w:val="16"/>
        <w:szCs w:val="24"/>
        <w:lang w:eastAsia="en-US"/>
      </w:rPr>
    </w:pPr>
    <w:r w:rsidRPr="00860D88">
      <w:rPr>
        <w:rFonts w:ascii="Calibri" w:eastAsia="Cambria" w:hAnsi="Calibri"/>
        <w:sz w:val="16"/>
        <w:szCs w:val="24"/>
        <w:lang w:eastAsia="en-US"/>
      </w:rPr>
      <w:t>© Nuffield Foundation 2011</w:t>
    </w:r>
    <w:r>
      <w:rPr>
        <w:rFonts w:ascii="Calibri" w:eastAsia="Cambria" w:hAnsi="Calibri"/>
        <w:sz w:val="16"/>
        <w:szCs w:val="24"/>
        <w:lang w:eastAsia="en-US"/>
      </w:rPr>
      <w:t xml:space="preserve"> ● downloaded from www.fsmq.org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295" w:rsidRDefault="004A6295">
      <w:r>
        <w:separator/>
      </w:r>
    </w:p>
  </w:footnote>
  <w:footnote w:type="continuationSeparator" w:id="0">
    <w:p w:rsidR="004A6295" w:rsidRDefault="004A6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5F" w:rsidRDefault="00F26713" w:rsidP="004E475F">
    <w:pPr>
      <w:pStyle w:val="Titlepupil"/>
      <w:spacing w:after="120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76200</wp:posOffset>
          </wp:positionV>
          <wp:extent cx="6026150" cy="431800"/>
          <wp:effectExtent l="19050" t="0" r="0" b="0"/>
          <wp:wrapSquare wrapText="bothSides"/>
          <wp:docPr id="2" name="Picture 1" descr="O:\NCP\public\FSMQ Maths\FSMA images\FSMA Archimedes header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NCP\public\FSMQ Maths\FSMA images\FSMA Archimedes header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475F">
      <w:rPr>
        <w:noProof/>
        <w:lang w:eastAsia="en-GB"/>
      </w:rPr>
      <w:t>Ozone hole</w:t>
    </w:r>
  </w:p>
  <w:p w:rsidR="004E475F" w:rsidRDefault="004E47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C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54335A"/>
    <w:multiLevelType w:val="hybridMultilevel"/>
    <w:tmpl w:val="DF6E1782"/>
    <w:lvl w:ilvl="0" w:tplc="BDB8F4DA">
      <w:start w:val="1"/>
      <w:numFmt w:val="bullet"/>
      <w:lvlText w:val="•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34689A"/>
        <w:sz w:val="28"/>
        <w:szCs w:val="28"/>
      </w:rPr>
    </w:lvl>
    <w:lvl w:ilvl="1" w:tplc="ABF69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44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25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3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2F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9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2E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D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421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D593989"/>
    <w:multiLevelType w:val="hybridMultilevel"/>
    <w:tmpl w:val="D49C0F82"/>
    <w:lvl w:ilvl="0" w:tplc="44027AEC">
      <w:start w:val="1"/>
      <w:numFmt w:val="bullet"/>
      <w:lvlText w:val="•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278EAD"/>
        <w:sz w:val="28"/>
        <w:szCs w:val="28"/>
      </w:rPr>
    </w:lvl>
    <w:lvl w:ilvl="1" w:tplc="ABF69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44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25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3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2F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9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2E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D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A69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5C73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E82AF4"/>
    <w:multiLevelType w:val="hybridMultilevel"/>
    <w:tmpl w:val="9A9A9844"/>
    <w:lvl w:ilvl="0" w:tplc="99B646E2">
      <w:start w:val="1"/>
      <w:numFmt w:val="decimal"/>
      <w:lvlText w:val="%1"/>
      <w:lvlJc w:val="left"/>
      <w:pPr>
        <w:ind w:left="1080" w:hanging="720"/>
      </w:pPr>
      <w:rPr>
        <w:rFonts w:ascii="Times New Roman" w:hAnsi="Times New Roman" w:cs="Times New Roman" w:hint="default"/>
        <w:b/>
        <w:color w:val="36669A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04B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001442"/>
    <w:multiLevelType w:val="multilevel"/>
    <w:tmpl w:val="2002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693BDF"/>
    <w:multiLevelType w:val="hybridMultilevel"/>
    <w:tmpl w:val="AEBCD140"/>
    <w:lvl w:ilvl="0" w:tplc="FC96B3E0">
      <w:start w:val="1"/>
      <w:numFmt w:val="bullet"/>
      <w:pStyle w:val="bullets"/>
      <w:lvlText w:val="•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36669A"/>
        <w:sz w:val="28"/>
        <w:szCs w:val="28"/>
      </w:rPr>
    </w:lvl>
    <w:lvl w:ilvl="1" w:tplc="ABF69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44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25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3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2F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9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2E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D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42EA3"/>
    <w:multiLevelType w:val="multilevel"/>
    <w:tmpl w:val="66EA9A08"/>
    <w:lvl w:ilvl="0">
      <w:start w:val="1"/>
      <w:numFmt w:val="bullet"/>
      <w:lvlText w:val="•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34689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D47A0"/>
    <w:multiLevelType w:val="multilevel"/>
    <w:tmpl w:val="4F10995E"/>
    <w:lvl w:ilvl="0">
      <w:start w:val="1"/>
      <w:numFmt w:val="bullet"/>
      <w:lvlText w:val="•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278EAD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23F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9A862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C7B5B4D"/>
    <w:multiLevelType w:val="singleLevel"/>
    <w:tmpl w:val="E0B8B0FA"/>
    <w:lvl w:ilvl="0">
      <w:start w:val="3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796232"/>
    <w:rsid w:val="0003595C"/>
    <w:rsid w:val="0004342B"/>
    <w:rsid w:val="00074B40"/>
    <w:rsid w:val="000852C7"/>
    <w:rsid w:val="00093577"/>
    <w:rsid w:val="00097088"/>
    <w:rsid w:val="000A7BCB"/>
    <w:rsid w:val="000C3127"/>
    <w:rsid w:val="000F3870"/>
    <w:rsid w:val="000F44DF"/>
    <w:rsid w:val="000F5F61"/>
    <w:rsid w:val="0014623D"/>
    <w:rsid w:val="0015475F"/>
    <w:rsid w:val="00176A4E"/>
    <w:rsid w:val="001B66D2"/>
    <w:rsid w:val="001E7754"/>
    <w:rsid w:val="001F5C3D"/>
    <w:rsid w:val="0022280A"/>
    <w:rsid w:val="002629D1"/>
    <w:rsid w:val="00286BAB"/>
    <w:rsid w:val="00292387"/>
    <w:rsid w:val="003062C6"/>
    <w:rsid w:val="00315957"/>
    <w:rsid w:val="003254F1"/>
    <w:rsid w:val="0033563A"/>
    <w:rsid w:val="00351E4C"/>
    <w:rsid w:val="0036372C"/>
    <w:rsid w:val="0039742A"/>
    <w:rsid w:val="003B305B"/>
    <w:rsid w:val="003D73FC"/>
    <w:rsid w:val="00406563"/>
    <w:rsid w:val="00423251"/>
    <w:rsid w:val="00430214"/>
    <w:rsid w:val="0043191C"/>
    <w:rsid w:val="00435AFA"/>
    <w:rsid w:val="004504D1"/>
    <w:rsid w:val="004A6295"/>
    <w:rsid w:val="004B24B9"/>
    <w:rsid w:val="004B6284"/>
    <w:rsid w:val="004C2964"/>
    <w:rsid w:val="004D7F32"/>
    <w:rsid w:val="004E475F"/>
    <w:rsid w:val="00504CC7"/>
    <w:rsid w:val="00530995"/>
    <w:rsid w:val="00547D26"/>
    <w:rsid w:val="00590CE8"/>
    <w:rsid w:val="00590E73"/>
    <w:rsid w:val="005A23F0"/>
    <w:rsid w:val="005A4528"/>
    <w:rsid w:val="005F61D8"/>
    <w:rsid w:val="006018E7"/>
    <w:rsid w:val="00672E9E"/>
    <w:rsid w:val="00673974"/>
    <w:rsid w:val="006A24AC"/>
    <w:rsid w:val="006A52A8"/>
    <w:rsid w:val="006A6C2A"/>
    <w:rsid w:val="006B4B92"/>
    <w:rsid w:val="00707B5E"/>
    <w:rsid w:val="007460FE"/>
    <w:rsid w:val="0075312F"/>
    <w:rsid w:val="00787B83"/>
    <w:rsid w:val="00796232"/>
    <w:rsid w:val="007A1BF2"/>
    <w:rsid w:val="007A5A51"/>
    <w:rsid w:val="007E6509"/>
    <w:rsid w:val="008128C1"/>
    <w:rsid w:val="00837E15"/>
    <w:rsid w:val="00860D88"/>
    <w:rsid w:val="00877949"/>
    <w:rsid w:val="008F1B26"/>
    <w:rsid w:val="008F7718"/>
    <w:rsid w:val="009048D8"/>
    <w:rsid w:val="00931D84"/>
    <w:rsid w:val="00955EE2"/>
    <w:rsid w:val="0097148A"/>
    <w:rsid w:val="009A5B29"/>
    <w:rsid w:val="009A7415"/>
    <w:rsid w:val="009B6487"/>
    <w:rsid w:val="009B7766"/>
    <w:rsid w:val="009E5B9B"/>
    <w:rsid w:val="00A2202E"/>
    <w:rsid w:val="00A6719E"/>
    <w:rsid w:val="00AB6A25"/>
    <w:rsid w:val="00AD3B21"/>
    <w:rsid w:val="00AD79BC"/>
    <w:rsid w:val="00AE6002"/>
    <w:rsid w:val="00AF535C"/>
    <w:rsid w:val="00B03882"/>
    <w:rsid w:val="00B1704A"/>
    <w:rsid w:val="00B609C4"/>
    <w:rsid w:val="00BA488F"/>
    <w:rsid w:val="00BE0F61"/>
    <w:rsid w:val="00BE4482"/>
    <w:rsid w:val="00C27C93"/>
    <w:rsid w:val="00C4364B"/>
    <w:rsid w:val="00C562D3"/>
    <w:rsid w:val="00C82914"/>
    <w:rsid w:val="00CA57CA"/>
    <w:rsid w:val="00CD7388"/>
    <w:rsid w:val="00D151F2"/>
    <w:rsid w:val="00D329F6"/>
    <w:rsid w:val="00D52A00"/>
    <w:rsid w:val="00D569E6"/>
    <w:rsid w:val="00D83D22"/>
    <w:rsid w:val="00D956A0"/>
    <w:rsid w:val="00DA3851"/>
    <w:rsid w:val="00DD2EBF"/>
    <w:rsid w:val="00E21D65"/>
    <w:rsid w:val="00E22558"/>
    <w:rsid w:val="00E350BF"/>
    <w:rsid w:val="00E871C6"/>
    <w:rsid w:val="00EB4FF7"/>
    <w:rsid w:val="00EE1D3E"/>
    <w:rsid w:val="00F042B1"/>
    <w:rsid w:val="00F1223C"/>
    <w:rsid w:val="00F26713"/>
    <w:rsid w:val="00F62071"/>
    <w:rsid w:val="00F62B6C"/>
    <w:rsid w:val="00F968B0"/>
    <w:rsid w:val="00FA7F4D"/>
    <w:rsid w:val="00FB1EA3"/>
    <w:rsid w:val="00FC54E1"/>
    <w:rsid w:val="00FE10A5"/>
    <w:rsid w:val="00FF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E5"/>
  </w:style>
  <w:style w:type="paragraph" w:styleId="Heading1">
    <w:name w:val="heading 1"/>
    <w:basedOn w:val="Normal"/>
    <w:next w:val="Normal"/>
    <w:qFormat/>
    <w:rsid w:val="00E21D65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E21D65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21D65"/>
    <w:pPr>
      <w:keepNext/>
      <w:spacing w:before="240" w:after="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rsid w:val="00E21D65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E21D65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E21D65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21D65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21D65"/>
    <w:pPr>
      <w:keepNext/>
      <w:jc w:val="center"/>
      <w:outlineLvl w:val="7"/>
    </w:pPr>
    <w:rPr>
      <w:b/>
      <w:snapToGrid w:val="0"/>
      <w:color w:val="000000"/>
      <w:lang w:eastAsia="en-US"/>
    </w:rPr>
  </w:style>
  <w:style w:type="paragraph" w:styleId="Heading9">
    <w:name w:val="heading 9"/>
    <w:basedOn w:val="Normal"/>
    <w:next w:val="Normal"/>
    <w:qFormat/>
    <w:rsid w:val="00E21D65"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E21D65"/>
    <w:rPr>
      <w:sz w:val="22"/>
    </w:rPr>
  </w:style>
  <w:style w:type="paragraph" w:customStyle="1" w:styleId="Caption1">
    <w:name w:val="Caption1"/>
    <w:basedOn w:val="text"/>
    <w:qFormat/>
    <w:rsid w:val="006A6C2A"/>
    <w:pPr>
      <w:spacing w:after="0" w:line="240" w:lineRule="auto"/>
      <w:ind w:right="0"/>
    </w:pPr>
    <w:rPr>
      <w:sz w:val="20"/>
    </w:rPr>
  </w:style>
  <w:style w:type="character" w:styleId="Hyperlink">
    <w:name w:val="Hyperlink"/>
    <w:unhideWhenUsed/>
    <w:rsid w:val="0033563A"/>
    <w:rPr>
      <w:color w:val="0000FF"/>
      <w:u w:val="single"/>
    </w:rPr>
  </w:style>
  <w:style w:type="paragraph" w:customStyle="1" w:styleId="text">
    <w:name w:val="text"/>
    <w:basedOn w:val="Normal"/>
    <w:uiPriority w:val="99"/>
    <w:qFormat/>
    <w:rsid w:val="009048D8"/>
    <w:pPr>
      <w:widowControl w:val="0"/>
      <w:tabs>
        <w:tab w:val="left" w:pos="284"/>
      </w:tabs>
      <w:suppressAutoHyphens/>
      <w:autoSpaceDE w:val="0"/>
      <w:autoSpaceDN w:val="0"/>
      <w:adjustRightInd w:val="0"/>
      <w:spacing w:after="120" w:line="240" w:lineRule="atLeast"/>
      <w:ind w:right="2268"/>
      <w:textAlignment w:val="center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rsid w:val="00E21D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21D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E21D65"/>
  </w:style>
  <w:style w:type="paragraph" w:customStyle="1" w:styleId="Question">
    <w:name w:val="Question"/>
    <w:basedOn w:val="Body"/>
    <w:rsid w:val="00E21D65"/>
    <w:pPr>
      <w:ind w:hanging="283"/>
    </w:pPr>
  </w:style>
  <w:style w:type="paragraph" w:customStyle="1" w:styleId="Titlepupil">
    <w:name w:val="Title pupil"/>
    <w:qFormat/>
    <w:rsid w:val="00860D88"/>
    <w:pPr>
      <w:spacing w:before="360" w:after="200"/>
    </w:pPr>
    <w:rPr>
      <w:rFonts w:ascii="Calibri" w:eastAsia="Cambria" w:hAnsi="Calibri"/>
      <w:b/>
      <w:color w:val="36669A"/>
      <w:sz w:val="28"/>
      <w:szCs w:val="24"/>
      <w:lang w:eastAsia="en-US"/>
    </w:rPr>
  </w:style>
  <w:style w:type="paragraph" w:customStyle="1" w:styleId="Cheading">
    <w:name w:val="C heading"/>
    <w:basedOn w:val="Normal"/>
    <w:qFormat/>
    <w:rsid w:val="00B1704A"/>
    <w:pPr>
      <w:widowControl w:val="0"/>
      <w:suppressAutoHyphens/>
      <w:autoSpaceDE w:val="0"/>
      <w:autoSpaceDN w:val="0"/>
      <w:adjustRightInd w:val="0"/>
      <w:spacing w:before="240" w:after="60"/>
      <w:textAlignment w:val="center"/>
    </w:pPr>
    <w:rPr>
      <w:rFonts w:ascii="Calibri" w:eastAsia="Cambria" w:hAnsi="Calibri" w:cs="Calibri"/>
      <w:b/>
      <w:color w:val="36669A"/>
      <w:sz w:val="26"/>
      <w:szCs w:val="24"/>
      <w:lang w:eastAsia="en-US"/>
    </w:rPr>
  </w:style>
  <w:style w:type="paragraph" w:customStyle="1" w:styleId="Aheading">
    <w:name w:val="A heading"/>
    <w:uiPriority w:val="99"/>
    <w:qFormat/>
    <w:rsid w:val="00B1704A"/>
    <w:pPr>
      <w:widowControl w:val="0"/>
      <w:pBdr>
        <w:bottom w:val="single" w:sz="2" w:space="8" w:color="36669A"/>
      </w:pBdr>
      <w:autoSpaceDE w:val="0"/>
      <w:autoSpaceDN w:val="0"/>
      <w:adjustRightInd w:val="0"/>
      <w:spacing w:before="567" w:after="340"/>
      <w:textAlignment w:val="center"/>
    </w:pPr>
    <w:rPr>
      <w:rFonts w:ascii="Calibri-Bold" w:eastAsia="Cambria" w:hAnsi="Calibri-Bold" w:cs="Calibri-Bold"/>
      <w:b/>
      <w:bCs/>
      <w:color w:val="36669A"/>
      <w:sz w:val="30"/>
      <w:szCs w:val="30"/>
      <w:lang w:eastAsia="en-US"/>
    </w:rPr>
  </w:style>
  <w:style w:type="paragraph" w:customStyle="1" w:styleId="Bheading">
    <w:name w:val="B heading"/>
    <w:basedOn w:val="Aheading"/>
    <w:uiPriority w:val="99"/>
    <w:qFormat/>
    <w:rsid w:val="004E475F"/>
    <w:pPr>
      <w:pBdr>
        <w:bottom w:val="none" w:sz="0" w:space="0" w:color="auto"/>
      </w:pBdr>
      <w:spacing w:before="360" w:after="120"/>
    </w:pPr>
    <w:rPr>
      <w:sz w:val="28"/>
      <w:szCs w:val="28"/>
    </w:rPr>
  </w:style>
  <w:style w:type="paragraph" w:customStyle="1" w:styleId="bullets">
    <w:name w:val="bullets"/>
    <w:link w:val="bulletsChar"/>
    <w:qFormat/>
    <w:rsid w:val="009048D8"/>
    <w:pPr>
      <w:widowControl w:val="0"/>
      <w:numPr>
        <w:numId w:val="12"/>
      </w:numPr>
      <w:suppressAutoHyphens/>
      <w:autoSpaceDE w:val="0"/>
      <w:autoSpaceDN w:val="0"/>
      <w:adjustRightInd w:val="0"/>
      <w:spacing w:after="113" w:line="340" w:lineRule="atLeast"/>
      <w:ind w:left="284" w:hanging="284"/>
      <w:textAlignment w:val="center"/>
    </w:pPr>
    <w:rPr>
      <w:rFonts w:ascii="Calibri" w:eastAsia="Cambria" w:hAnsi="Calibri" w:cs="Calibri"/>
      <w:noProof/>
      <w:sz w:val="24"/>
      <w:szCs w:val="24"/>
      <w:lang w:eastAsia="en-US"/>
    </w:rPr>
  </w:style>
  <w:style w:type="character" w:customStyle="1" w:styleId="bulletsChar">
    <w:name w:val="bullets Char"/>
    <w:link w:val="bullets"/>
    <w:rsid w:val="009048D8"/>
    <w:rPr>
      <w:rFonts w:ascii="Calibri" w:eastAsia="Cambria" w:hAnsi="Calibri" w:cs="Calibri"/>
      <w:noProof/>
      <w:sz w:val="24"/>
      <w:szCs w:val="24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B1704A"/>
  </w:style>
  <w:style w:type="paragraph" w:customStyle="1" w:styleId="Dheading">
    <w:name w:val="D heading"/>
    <w:basedOn w:val="text"/>
    <w:qFormat/>
    <w:rsid w:val="005F61D8"/>
    <w:pPr>
      <w:spacing w:after="0"/>
      <w:ind w:right="0"/>
    </w:pPr>
    <w:rPr>
      <w:b/>
      <w:color w:val="36669A"/>
    </w:rPr>
  </w:style>
  <w:style w:type="paragraph" w:customStyle="1" w:styleId="box">
    <w:name w:val="box"/>
    <w:basedOn w:val="text"/>
    <w:qFormat/>
    <w:rsid w:val="006A6C2A"/>
    <w:pPr>
      <w:ind w:right="0"/>
    </w:pPr>
  </w:style>
  <w:style w:type="paragraph" w:customStyle="1" w:styleId="Table">
    <w:name w:val="Table"/>
    <w:basedOn w:val="Normal"/>
    <w:qFormat/>
    <w:rsid w:val="009048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eastAsia="Cambria" w:hAnsi="Calibri" w:cs="Calibri"/>
      <w:color w:val="00000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6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0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0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0FE"/>
    <w:rPr>
      <w:b/>
      <w:bCs/>
    </w:rPr>
  </w:style>
  <w:style w:type="paragraph" w:styleId="Revision">
    <w:name w:val="Revision"/>
    <w:hidden/>
    <w:uiPriority w:val="99"/>
    <w:semiHidden/>
    <w:rsid w:val="008F1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3258">
              <w:marLeft w:val="0"/>
              <w:marRight w:val="0"/>
              <w:marTop w:val="0"/>
              <w:marBottom w:val="0"/>
              <w:divBdr>
                <w:top w:val="single" w:sz="6" w:space="0" w:color="25408F"/>
                <w:left w:val="single" w:sz="6" w:space="0" w:color="25408F"/>
                <w:bottom w:val="single" w:sz="6" w:space="0" w:color="25408F"/>
                <w:right w:val="single" w:sz="6" w:space="0" w:color="25408F"/>
              </w:divBdr>
              <w:divsChild>
                <w:div w:id="16019863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897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8.7\Company%20Data\NCP\public\FSMQ%20Maths\FSMA%20resources\FSMA%20proofs\FSMA%20Batch%200%20first%20ones%20proofs\FSMA%20Ozone%20hole%20graph%20(Mar%201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Maximum annual ozone hole area </a:t>
            </a:r>
          </a:p>
        </c:rich>
      </c:tx>
      <c:layout>
        <c:manualLayout>
          <c:xMode val="edge"/>
          <c:yMode val="edge"/>
          <c:x val="0.290185370306973"/>
          <c:y val="4.736530491415049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973724884080398"/>
          <c:y val="0.12555500648359039"/>
          <c:w val="0.85162287480680221"/>
          <c:h val="0.72859950732144163"/>
        </c:manualLayout>
      </c:layout>
      <c:scatterChart>
        <c:scatterStyle val="lineMarker"/>
        <c:ser>
          <c:idx val="0"/>
          <c:order val="0"/>
          <c:tx>
            <c:v>Data</c:v>
          </c:tx>
          <c:spPr>
            <a:ln w="28575">
              <a:noFill/>
            </a:ln>
          </c:spPr>
          <c:xVal>
            <c:numRef>
              <c:f>'Full Data'!$A$2:$A$32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xVal>
          <c:yVal>
            <c:numRef>
              <c:f>'Full Data'!$B$2:$B$32</c:f>
              <c:numCache>
                <c:formatCode>0.0</c:formatCode>
                <c:ptCount val="31"/>
                <c:pt idx="0">
                  <c:v>3.3</c:v>
                </c:pt>
                <c:pt idx="1">
                  <c:v>3.1</c:v>
                </c:pt>
                <c:pt idx="2">
                  <c:v>10.8</c:v>
                </c:pt>
                <c:pt idx="3">
                  <c:v>12.2</c:v>
                </c:pt>
                <c:pt idx="4">
                  <c:v>14.7</c:v>
                </c:pt>
                <c:pt idx="5">
                  <c:v>18.8</c:v>
                </c:pt>
                <c:pt idx="6">
                  <c:v>14.4</c:v>
                </c:pt>
                <c:pt idx="7">
                  <c:v>22.5</c:v>
                </c:pt>
                <c:pt idx="8">
                  <c:v>13.8</c:v>
                </c:pt>
                <c:pt idx="9">
                  <c:v>21.7</c:v>
                </c:pt>
                <c:pt idx="10">
                  <c:v>21.1</c:v>
                </c:pt>
                <c:pt idx="11">
                  <c:v>22.5</c:v>
                </c:pt>
                <c:pt idx="12">
                  <c:v>24.9</c:v>
                </c:pt>
                <c:pt idx="13">
                  <c:v>25.8</c:v>
                </c:pt>
                <c:pt idx="14">
                  <c:v>25.2</c:v>
                </c:pt>
                <c:pt idx="15">
                  <c:v>26.9</c:v>
                </c:pt>
                <c:pt idx="16">
                  <c:v>25.1</c:v>
                </c:pt>
                <c:pt idx="17">
                  <c:v>27.9</c:v>
                </c:pt>
                <c:pt idx="18">
                  <c:v>25.8</c:v>
                </c:pt>
                <c:pt idx="19">
                  <c:v>29.9</c:v>
                </c:pt>
                <c:pt idx="20">
                  <c:v>26.5</c:v>
                </c:pt>
                <c:pt idx="21">
                  <c:v>21.9</c:v>
                </c:pt>
                <c:pt idx="22">
                  <c:v>28.4</c:v>
                </c:pt>
                <c:pt idx="23">
                  <c:v>22.7</c:v>
                </c:pt>
                <c:pt idx="24">
                  <c:v>26.9</c:v>
                </c:pt>
                <c:pt idx="25">
                  <c:v>29.3</c:v>
                </c:pt>
                <c:pt idx="26">
                  <c:v>24.8</c:v>
                </c:pt>
                <c:pt idx="27">
                  <c:v>26.5</c:v>
                </c:pt>
                <c:pt idx="28">
                  <c:v>24</c:v>
                </c:pt>
                <c:pt idx="29">
                  <c:v>22.2</c:v>
                </c:pt>
              </c:numCache>
            </c:numRef>
          </c:yVal>
        </c:ser>
        <c:axId val="50750976"/>
        <c:axId val="50757632"/>
      </c:scatterChart>
      <c:valAx>
        <c:axId val="50750976"/>
        <c:scaling>
          <c:orientation val="minMax"/>
          <c:max val="30"/>
          <c:min val="0"/>
        </c:scaling>
        <c:axPos val="b"/>
        <c:majorGridlines>
          <c:spPr>
            <a:ln>
              <a:solidFill>
                <a:schemeClr val="bg1">
                  <a:lumMod val="65000"/>
                </a:schemeClr>
              </a:solidFill>
            </a:ln>
          </c:spPr>
        </c:majorGridlines>
        <c:minorGridlines>
          <c:spPr>
            <a:ln>
              <a:solidFill>
                <a:schemeClr val="bg1">
                  <a:lumMod val="50000"/>
                  <a:alpha val="50000"/>
                </a:schemeClr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en-GB" sz="1000" i="0"/>
                  <a:t>Time</a:t>
                </a:r>
                <a:r>
                  <a:rPr lang="en-GB" sz="1000" i="1">
                    <a:latin typeface="Times New Roman" pitchFamily="18" charset="0"/>
                    <a:cs typeface="Times New Roman" pitchFamily="18" charset="0"/>
                  </a:rPr>
                  <a:t> t</a:t>
                </a:r>
                <a:r>
                  <a:rPr lang="en-GB" sz="1000"/>
                  <a:t> (years after 1980)</a:t>
                </a:r>
              </a:p>
            </c:rich>
          </c:tx>
          <c:layout>
            <c:manualLayout>
              <c:xMode val="edge"/>
              <c:yMode val="edge"/>
              <c:x val="0.71410503252311319"/>
              <c:y val="0.9294260686330726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0757632"/>
        <c:crosses val="autoZero"/>
        <c:crossBetween val="midCat"/>
        <c:majorUnit val="5"/>
        <c:minorUnit val="1"/>
      </c:valAx>
      <c:valAx>
        <c:axId val="50757632"/>
        <c:scaling>
          <c:orientation val="minMax"/>
          <c:max val="30"/>
          <c:min val="0"/>
        </c:scaling>
        <c:axPos val="l"/>
        <c:majorGridlines>
          <c:spPr>
            <a:ln>
              <a:solidFill>
                <a:schemeClr val="bg1">
                  <a:lumMod val="50000"/>
                </a:schemeClr>
              </a:solidFill>
            </a:ln>
          </c:spPr>
        </c:majorGridlines>
        <c:minorGridlines>
          <c:spPr>
            <a:ln w="6350">
              <a:solidFill>
                <a:schemeClr val="bg1">
                  <a:lumMod val="50000"/>
                  <a:alpha val="50000"/>
                </a:schemeClr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 sz="1000" baseline="0">
                    <a:latin typeface="Calibri" pitchFamily="34" charset="0"/>
                  </a:defRPr>
                </a:pPr>
                <a:r>
                  <a:rPr lang="en-GB" sz="1000" baseline="0">
                    <a:latin typeface="Calibri" pitchFamily="34" charset="0"/>
                  </a:rPr>
                  <a:t>Area, </a:t>
                </a:r>
                <a:r>
                  <a:rPr lang="en-GB" sz="1000" i="1" baseline="0">
                    <a:latin typeface="Times New Roman" pitchFamily="18" charset="0"/>
                    <a:cs typeface="Times New Roman" pitchFamily="18" charset="0"/>
                  </a:rPr>
                  <a:t>A </a:t>
                </a:r>
                <a:r>
                  <a:rPr lang="en-GB" sz="1000" baseline="0">
                    <a:latin typeface="Calibri" pitchFamily="34" charset="0"/>
                  </a:rPr>
                  <a:t>(millions of square kilometres)</a:t>
                </a:r>
              </a:p>
            </c:rich>
          </c:tx>
          <c:layout>
            <c:manualLayout>
              <c:xMode val="edge"/>
              <c:yMode val="edge"/>
              <c:x val="6.5524592034691522E-3"/>
              <c:y val="0.12540244192388919"/>
            </c:manualLayout>
          </c:layout>
          <c:spPr>
            <a:noFill/>
            <a:ln w="25400">
              <a:noFill/>
            </a:ln>
          </c:spPr>
        </c:title>
        <c:numFmt formatCode="0" sourceLinked="0"/>
        <c:maj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 baseline="0">
                <a:latin typeface="Calibri" pitchFamily="34" charset="0"/>
              </a:defRPr>
            </a:pPr>
            <a:endParaRPr lang="en-US"/>
          </a:p>
        </c:txPr>
        <c:crossAx val="50750976"/>
        <c:crosses val="autoZero"/>
        <c:crossBetween val="midCat"/>
        <c:majorUnit val="5"/>
        <c:minorUnit val="1"/>
      </c:valAx>
    </c:plotArea>
    <c:plotVisOnly val="1"/>
    <c:dispBlanksAs val="gap"/>
  </c:chart>
  <c:spPr>
    <a:noFill/>
    <a:ln w="9525"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</vt:lpstr>
    </vt:vector>
  </TitlesOfParts>
  <Company>Nuffield Foundation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:creator>Haighton</dc:creator>
  <cp:lastModifiedBy>scodrington</cp:lastModifiedBy>
  <cp:revision>15</cp:revision>
  <cp:lastPrinted>2011-04-14T09:12:00Z</cp:lastPrinted>
  <dcterms:created xsi:type="dcterms:W3CDTF">2011-04-14T13:27:00Z</dcterms:created>
  <dcterms:modified xsi:type="dcterms:W3CDTF">2012-02-08T11:06:00Z</dcterms:modified>
</cp:coreProperties>
</file>